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498F0AB6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2022-2025</w:t>
      </w:r>
    </w:p>
    <w:p w14:paraId="695943AD" w14:textId="2D3D9DAC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3</w:t>
      </w:r>
      <w:r w:rsidR="00424F45">
        <w:rPr>
          <w:rFonts w:ascii="Corbel" w:hAnsi="Corbel" w:cs="Corbel"/>
          <w:sz w:val="20"/>
          <w:szCs w:val="20"/>
        </w:rPr>
        <w:t>/</w:t>
      </w:r>
      <w:bookmarkStart w:id="0" w:name="_GoBack"/>
      <w:bookmarkEnd w:id="0"/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4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Organizacja sektora finansów publicznych w Polsce w kontekście zarządzania finansami </w:t>
            </w:r>
            <w:r w:rsidRPr="00123B7B">
              <w:rPr>
                <w:rFonts w:ascii="Corbel" w:hAnsi="Corbel" w:cs="Corbel"/>
              </w:rPr>
              <w:lastRenderedPageBreak/>
              <w:t>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Istota, cele i narzędzia polityki podatkowej. Podatek jako kategoria ekonomiczna. Teorie podatkowe (m.in. teoria optymalnego opodatkowani), ekonomiczne skutki podatków, krzywa </w:t>
            </w:r>
            <w:proofErr w:type="spellStart"/>
            <w:r w:rsidRPr="00123B7B">
              <w:rPr>
                <w:rFonts w:ascii="Corbel" w:hAnsi="Corbel" w:cs="Corbel"/>
              </w:rPr>
              <w:t>Laffera</w:t>
            </w:r>
            <w:proofErr w:type="spellEnd"/>
            <w:r w:rsidRPr="00123B7B">
              <w:rPr>
                <w:rFonts w:ascii="Corbel" w:hAnsi="Corbel" w:cs="Corbel"/>
              </w:rPr>
              <w:t xml:space="preserve">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lastRenderedPageBreak/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proofErr w:type="spellStart"/>
            <w:r w:rsidRPr="00123B7B">
              <w:rPr>
                <w:rFonts w:ascii="Corbel" w:hAnsi="Corbel" w:cs="Corbel"/>
              </w:rPr>
              <w:t>niekontaktowe</w:t>
            </w:r>
            <w:proofErr w:type="spellEnd"/>
            <w:r w:rsidRPr="00123B7B">
              <w:rPr>
                <w:rFonts w:ascii="Corbel" w:hAnsi="Corbel" w:cs="Corbel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 Finanse i rachunkowość sektora publicznego,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terytorialnego,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2017.</w:t>
            </w:r>
          </w:p>
          <w:p w14:paraId="25101FBF" w14:textId="77777777" w:rsidR="00B611A5" w:rsidRPr="00123B7B" w:rsidRDefault="009E58A0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proofErr w:type="spellStart"/>
            <w:r w:rsidR="00D12BEC">
              <w:fldChar w:fldCharType="begin"/>
            </w:r>
            <w:r w:rsidR="00D12BEC">
              <w:instrText xml:space="preserve"> HYPERLINK "https://www.ksiegarnia.beck.pl/autorzy/malgorzata-gorzalczynska-koczkodaj" </w:instrText>
            </w:r>
            <w:r w:rsidR="00D12BEC">
              <w:fldChar w:fldCharType="separate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Gorzałczyńska-Koczkodaj</w:t>
            </w:r>
            <w:proofErr w:type="spellEnd"/>
            <w:r w:rsidR="00D12BEC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fldChar w:fldCharType="end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-Kozak M., Walczak P.,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Culepa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(red.), Rachunkowość, finanse, audyt i kontrola: studium przypadków sektora publicznego i prywatnego,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C71D8" w14:textId="77777777" w:rsidR="009E58A0" w:rsidRDefault="009E58A0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7AC914" w14:textId="77777777" w:rsidR="009E58A0" w:rsidRDefault="009E58A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78E3A" w14:textId="77777777" w:rsidR="009E58A0" w:rsidRDefault="009E58A0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DA72A8C" w14:textId="77777777" w:rsidR="009E58A0" w:rsidRDefault="009E58A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B755C"/>
    <w:rsid w:val="004144E6"/>
    <w:rsid w:val="00424F45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siegarnia.beck.pl/autorzy/magdalena-ziol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siegarnia.beck.pl/autorzy/beata-filipia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ksiegarnia.beck.pl/autorzy/marek-dylewsk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1533</Words>
  <Characters>9198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17</cp:revision>
  <dcterms:created xsi:type="dcterms:W3CDTF">2020-11-17T07:23:00Z</dcterms:created>
  <dcterms:modified xsi:type="dcterms:W3CDTF">2022-05-29T18:26:00Z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